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A8" w:rsidRPr="00343EF6" w:rsidRDefault="001F2EA8" w:rsidP="001F2EA8">
      <w:pPr>
        <w:ind w:left="5103"/>
        <w:rPr>
          <w:sz w:val="26"/>
          <w:szCs w:val="26"/>
        </w:rPr>
      </w:pPr>
      <w:r w:rsidRPr="00343EF6">
        <w:rPr>
          <w:sz w:val="26"/>
          <w:szCs w:val="26"/>
        </w:rPr>
        <w:t>УТВЕРЖДЕНЫ</w:t>
      </w:r>
    </w:p>
    <w:p w:rsidR="001F2EA8" w:rsidRPr="00343EF6" w:rsidRDefault="001F2EA8" w:rsidP="001F2EA8">
      <w:pPr>
        <w:pStyle w:val="a3"/>
        <w:spacing w:after="360"/>
        <w:ind w:left="5103"/>
        <w:rPr>
          <w:szCs w:val="26"/>
        </w:rPr>
      </w:pPr>
      <w:r w:rsidRPr="00343EF6">
        <w:rPr>
          <w:szCs w:val="26"/>
        </w:rPr>
        <w:t xml:space="preserve">приказом </w:t>
      </w:r>
      <w:proofErr w:type="gramStart"/>
      <w:r w:rsidRPr="00343EF6">
        <w:rPr>
          <w:szCs w:val="26"/>
        </w:rPr>
        <w:t>департамента образования мэрии города Ярославля</w:t>
      </w:r>
      <w:proofErr w:type="gramEnd"/>
      <w:r w:rsidRPr="00343EF6">
        <w:rPr>
          <w:szCs w:val="26"/>
        </w:rPr>
        <w:t xml:space="preserve"> от </w:t>
      </w:r>
      <w:r>
        <w:rPr>
          <w:szCs w:val="26"/>
        </w:rPr>
        <w:t>25.11</w:t>
      </w:r>
      <w:r w:rsidRPr="00343EF6">
        <w:rPr>
          <w:szCs w:val="26"/>
        </w:rPr>
        <w:t>.2020 № 01-05/</w:t>
      </w:r>
      <w:r>
        <w:rPr>
          <w:szCs w:val="26"/>
        </w:rPr>
        <w:t>941</w:t>
      </w:r>
    </w:p>
    <w:p w:rsidR="001F2EA8" w:rsidRPr="00343EF6" w:rsidRDefault="001F2EA8" w:rsidP="001F2EA8">
      <w:pPr>
        <w:jc w:val="center"/>
        <w:rPr>
          <w:b/>
          <w:sz w:val="26"/>
          <w:szCs w:val="26"/>
        </w:rPr>
      </w:pPr>
    </w:p>
    <w:p w:rsidR="001F2EA8" w:rsidRPr="00343EF6" w:rsidRDefault="001F2EA8" w:rsidP="001F2EA8">
      <w:pPr>
        <w:jc w:val="center"/>
        <w:rPr>
          <w:b/>
          <w:sz w:val="26"/>
          <w:szCs w:val="26"/>
        </w:rPr>
      </w:pPr>
      <w:r w:rsidRPr="00343EF6">
        <w:rPr>
          <w:b/>
          <w:sz w:val="26"/>
          <w:szCs w:val="26"/>
        </w:rPr>
        <w:t xml:space="preserve">Требования </w:t>
      </w:r>
    </w:p>
    <w:p w:rsidR="001F2EA8" w:rsidRPr="00343EF6" w:rsidRDefault="001F2EA8" w:rsidP="001F2EA8">
      <w:pPr>
        <w:jc w:val="center"/>
        <w:rPr>
          <w:b/>
          <w:sz w:val="26"/>
          <w:szCs w:val="26"/>
        </w:rPr>
      </w:pPr>
      <w:r w:rsidRPr="00343EF6">
        <w:rPr>
          <w:b/>
          <w:sz w:val="26"/>
          <w:szCs w:val="26"/>
        </w:rPr>
        <w:t xml:space="preserve">к организации и проведению муниципального этапа </w:t>
      </w:r>
    </w:p>
    <w:p w:rsidR="001F2EA8" w:rsidRPr="00343EF6" w:rsidRDefault="001F2EA8" w:rsidP="001F2EA8">
      <w:pPr>
        <w:jc w:val="center"/>
        <w:rPr>
          <w:b/>
          <w:sz w:val="26"/>
          <w:szCs w:val="26"/>
        </w:rPr>
      </w:pPr>
      <w:r w:rsidRPr="00343EF6">
        <w:rPr>
          <w:b/>
          <w:sz w:val="26"/>
          <w:szCs w:val="26"/>
        </w:rPr>
        <w:t>всероссийской олимпиады школьников в 2020/2021 учебном году</w:t>
      </w:r>
    </w:p>
    <w:p w:rsidR="001F2EA8" w:rsidRPr="00343EF6" w:rsidRDefault="001F2EA8" w:rsidP="001F2EA8">
      <w:pPr>
        <w:jc w:val="center"/>
        <w:rPr>
          <w:b/>
          <w:sz w:val="26"/>
          <w:szCs w:val="26"/>
        </w:rPr>
      </w:pPr>
      <w:r w:rsidRPr="00343EF6">
        <w:rPr>
          <w:b/>
          <w:sz w:val="26"/>
          <w:szCs w:val="26"/>
        </w:rPr>
        <w:t>по основам безопасности жизнедеятельности</w:t>
      </w:r>
    </w:p>
    <w:p w:rsidR="001F2EA8" w:rsidRPr="00343EF6" w:rsidRDefault="001F2EA8" w:rsidP="001F2EA8">
      <w:pPr>
        <w:ind w:left="4962"/>
        <w:rPr>
          <w:sz w:val="26"/>
          <w:szCs w:val="26"/>
        </w:rPr>
      </w:pPr>
    </w:p>
    <w:p w:rsidR="001F2EA8" w:rsidRPr="00343EF6" w:rsidRDefault="001F2EA8" w:rsidP="001F2EA8">
      <w:pPr>
        <w:numPr>
          <w:ilvl w:val="0"/>
          <w:numId w:val="7"/>
        </w:numPr>
        <w:ind w:left="426" w:hanging="426"/>
        <w:jc w:val="center"/>
        <w:rPr>
          <w:sz w:val="26"/>
          <w:szCs w:val="26"/>
        </w:rPr>
      </w:pPr>
      <w:r w:rsidRPr="00343EF6">
        <w:rPr>
          <w:b/>
          <w:sz w:val="26"/>
          <w:szCs w:val="26"/>
        </w:rPr>
        <w:t>Общие положения</w:t>
      </w:r>
    </w:p>
    <w:p w:rsidR="001F2EA8" w:rsidRPr="00343EF6" w:rsidRDefault="001F2EA8" w:rsidP="001F2EA8">
      <w:pPr>
        <w:pStyle w:val="a5"/>
        <w:numPr>
          <w:ilvl w:val="1"/>
          <w:numId w:val="1"/>
        </w:numPr>
        <w:tabs>
          <w:tab w:val="left" w:pos="993"/>
        </w:tabs>
        <w:ind w:left="0" w:firstLine="561"/>
        <w:jc w:val="both"/>
        <w:rPr>
          <w:rFonts w:ascii="Times New Roman" w:hAnsi="Times New Roman"/>
          <w:sz w:val="26"/>
          <w:szCs w:val="26"/>
        </w:rPr>
      </w:pPr>
      <w:proofErr w:type="gramStart"/>
      <w:r w:rsidRPr="00343EF6">
        <w:rPr>
          <w:rFonts w:ascii="Times New Roman" w:hAnsi="Times New Roman"/>
          <w:sz w:val="26"/>
          <w:szCs w:val="26"/>
        </w:rPr>
        <w:t>Настоящие требования к проведению муниципального этапа всероссийской олимпиады школьников по основам безопасности жизнедеятельности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w:t>
      </w:r>
      <w:proofErr w:type="gramEnd"/>
      <w:r w:rsidRPr="00343EF6">
        <w:rPr>
          <w:rFonts w:ascii="Times New Roman" w:hAnsi="Times New Roman"/>
          <w:sz w:val="26"/>
          <w:szCs w:val="26"/>
        </w:rPr>
        <w:t xml:space="preserve"> </w:t>
      </w:r>
      <w:proofErr w:type="gramStart"/>
      <w:r w:rsidRPr="00343EF6">
        <w:rPr>
          <w:rFonts w:ascii="Times New Roman" w:hAnsi="Times New Roman"/>
          <w:sz w:val="26"/>
          <w:szCs w:val="26"/>
        </w:rPr>
        <w:t>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343EF6">
        <w:rPr>
          <w:rFonts w:ascii="Times New Roman" w:hAnsi="Times New Roman"/>
          <w:sz w:val="26"/>
          <w:szCs w:val="26"/>
          <w:lang w:val="en-US"/>
        </w:rPr>
        <w:t>COVID</w:t>
      </w:r>
      <w:r w:rsidRPr="00343EF6">
        <w:rPr>
          <w:rFonts w:ascii="Times New Roman" w:hAnsi="Times New Roman"/>
          <w:sz w:val="26"/>
          <w:szCs w:val="26"/>
        </w:rPr>
        <w:t xml:space="preserve">-19),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w:t>
      </w:r>
      <w:r w:rsidRPr="00343EF6">
        <w:rPr>
          <w:rFonts w:ascii="Times New Roman" w:hAnsi="Times New Roman"/>
          <w:sz w:val="26"/>
          <w:szCs w:val="26"/>
        </w:rPr>
        <w:br/>
        <w:t>СП 3.1/2.4.3598-20», и в соответствии с</w:t>
      </w:r>
      <w:proofErr w:type="gramEnd"/>
      <w:r w:rsidRPr="00343EF6">
        <w:rPr>
          <w:rFonts w:ascii="Times New Roman" w:hAnsi="Times New Roman"/>
          <w:sz w:val="26"/>
          <w:szCs w:val="26"/>
        </w:rPr>
        <w:t xml:space="preserve">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1F2EA8" w:rsidRPr="00343EF6" w:rsidRDefault="001F2EA8" w:rsidP="001F2EA8">
      <w:pPr>
        <w:pStyle w:val="a5"/>
        <w:numPr>
          <w:ilvl w:val="1"/>
          <w:numId w:val="1"/>
        </w:numPr>
        <w:tabs>
          <w:tab w:val="left" w:pos="993"/>
        </w:tabs>
        <w:ind w:left="0" w:firstLine="561"/>
        <w:jc w:val="both"/>
        <w:rPr>
          <w:rFonts w:ascii="Times New Roman" w:hAnsi="Times New Roman"/>
          <w:sz w:val="26"/>
          <w:szCs w:val="26"/>
        </w:rPr>
      </w:pPr>
      <w:r w:rsidRPr="00343EF6">
        <w:rPr>
          <w:rFonts w:ascii="Times New Roman" w:hAnsi="Times New Roman"/>
          <w:sz w:val="26"/>
          <w:szCs w:val="26"/>
        </w:rPr>
        <w:t>Муниципальный этап всероссийской олимпиады школьников (далее – муниципальный этап олимпиады) по основам безопасности жизнедеятельности проводится по заданиям, разработанным региональной предметно-методической комиссией с рекомендациями Центральной предметно-методической комиссии по основам безопасности жизнедеятельности.</w:t>
      </w:r>
    </w:p>
    <w:p w:rsidR="001F2EA8" w:rsidRPr="00343EF6" w:rsidRDefault="001F2EA8" w:rsidP="001F2EA8">
      <w:pPr>
        <w:pStyle w:val="a5"/>
        <w:numPr>
          <w:ilvl w:val="1"/>
          <w:numId w:val="1"/>
        </w:numPr>
        <w:tabs>
          <w:tab w:val="left" w:pos="993"/>
        </w:tabs>
        <w:ind w:left="0" w:firstLine="561"/>
        <w:jc w:val="both"/>
        <w:rPr>
          <w:rFonts w:ascii="Times New Roman" w:hAnsi="Times New Roman"/>
          <w:sz w:val="26"/>
          <w:szCs w:val="26"/>
        </w:rPr>
      </w:pPr>
      <w:r w:rsidRPr="00343EF6">
        <w:rPr>
          <w:rFonts w:ascii="Times New Roman" w:hAnsi="Times New Roman"/>
          <w:sz w:val="26"/>
          <w:szCs w:val="26"/>
        </w:rPr>
        <w:t>В муниципальном этапе олимпиады по основам безопасности жизнедеятельности принимают участие:</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участники школьного этапа всероссийской олимпиады школьников по основам безопасности жизнедеятельности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победители и призеры муниципального этапа олимпиады по основам безопасности жизнедеятельности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F2EA8" w:rsidRPr="00343EF6" w:rsidRDefault="001F2EA8" w:rsidP="001F2EA8">
      <w:pPr>
        <w:pStyle w:val="a5"/>
        <w:numPr>
          <w:ilvl w:val="1"/>
          <w:numId w:val="1"/>
        </w:numPr>
        <w:tabs>
          <w:tab w:val="left" w:pos="993"/>
        </w:tabs>
        <w:ind w:left="0" w:firstLine="561"/>
        <w:rPr>
          <w:rFonts w:ascii="Times New Roman" w:hAnsi="Times New Roman"/>
          <w:sz w:val="26"/>
          <w:szCs w:val="26"/>
        </w:rPr>
      </w:pPr>
      <w:r w:rsidRPr="00343EF6">
        <w:rPr>
          <w:rFonts w:ascii="Times New Roman" w:hAnsi="Times New Roman"/>
          <w:sz w:val="26"/>
          <w:szCs w:val="26"/>
        </w:rPr>
        <w:t xml:space="preserve">Муниципальный этап олимпиады по основам безопасности жизнедеятельности проводится в один (теоретический) тур для 7-11 классов. </w:t>
      </w:r>
    </w:p>
    <w:p w:rsidR="001F2EA8" w:rsidRPr="00343EF6" w:rsidRDefault="001F2EA8" w:rsidP="001F2EA8">
      <w:pPr>
        <w:pStyle w:val="a5"/>
        <w:numPr>
          <w:ilvl w:val="1"/>
          <w:numId w:val="1"/>
        </w:numPr>
        <w:tabs>
          <w:tab w:val="left" w:pos="993"/>
        </w:tabs>
        <w:ind w:left="0" w:firstLine="561"/>
        <w:jc w:val="both"/>
        <w:rPr>
          <w:rFonts w:ascii="Times New Roman" w:hAnsi="Times New Roman"/>
          <w:sz w:val="26"/>
          <w:szCs w:val="26"/>
        </w:rPr>
      </w:pPr>
      <w:r w:rsidRPr="00343EF6">
        <w:rPr>
          <w:rFonts w:ascii="Times New Roman" w:hAnsi="Times New Roman"/>
          <w:sz w:val="26"/>
          <w:szCs w:val="26"/>
        </w:rPr>
        <w:t>Начало проведения муниципального этапа олимпиады по основам безопасности жизнедеятельности – 09.00 по московскому времени.</w:t>
      </w:r>
    </w:p>
    <w:p w:rsidR="001F2EA8" w:rsidRPr="00343EF6" w:rsidRDefault="001F2EA8" w:rsidP="001F2EA8">
      <w:pPr>
        <w:pStyle w:val="a5"/>
        <w:numPr>
          <w:ilvl w:val="1"/>
          <w:numId w:val="1"/>
        </w:numPr>
        <w:tabs>
          <w:tab w:val="left" w:pos="993"/>
        </w:tabs>
        <w:ind w:left="0" w:firstLine="561"/>
        <w:rPr>
          <w:rFonts w:ascii="Times New Roman" w:hAnsi="Times New Roman"/>
          <w:sz w:val="26"/>
          <w:szCs w:val="26"/>
        </w:rPr>
      </w:pPr>
      <w:r w:rsidRPr="00343EF6">
        <w:rPr>
          <w:rFonts w:ascii="Times New Roman" w:hAnsi="Times New Roman"/>
          <w:sz w:val="26"/>
          <w:szCs w:val="26"/>
        </w:rPr>
        <w:t xml:space="preserve">Муниципальный этап олимпиады по основам безопасности жизнедеятельности проводится в трех возрастных параллелях: </w:t>
      </w:r>
      <w:r w:rsidRPr="00343EF6">
        <w:rPr>
          <w:rFonts w:ascii="Times New Roman" w:hAnsi="Times New Roman"/>
          <w:sz w:val="26"/>
          <w:szCs w:val="26"/>
        </w:rPr>
        <w:br/>
        <w:t xml:space="preserve">7-8, 9 и 10-11 классы. </w:t>
      </w:r>
    </w:p>
    <w:p w:rsidR="001F2EA8" w:rsidRPr="00343EF6" w:rsidRDefault="001F2EA8" w:rsidP="001F2EA8">
      <w:pPr>
        <w:pStyle w:val="a5"/>
        <w:numPr>
          <w:ilvl w:val="1"/>
          <w:numId w:val="1"/>
        </w:numPr>
        <w:tabs>
          <w:tab w:val="left" w:pos="993"/>
        </w:tabs>
        <w:ind w:left="0" w:firstLine="561"/>
        <w:rPr>
          <w:rFonts w:ascii="Times New Roman" w:hAnsi="Times New Roman"/>
          <w:sz w:val="26"/>
          <w:szCs w:val="26"/>
        </w:rPr>
      </w:pPr>
      <w:r w:rsidRPr="00343EF6">
        <w:rPr>
          <w:rFonts w:ascii="Times New Roman" w:hAnsi="Times New Roman"/>
          <w:sz w:val="26"/>
          <w:szCs w:val="26"/>
        </w:rPr>
        <w:t>Время выполнения заданий участниками муниципального этапа олимпиады по основам безопасности жизнедеятельности (в астрономических часах):</w:t>
      </w:r>
    </w:p>
    <w:p w:rsidR="001F2EA8" w:rsidRPr="00343EF6" w:rsidRDefault="001F2EA8" w:rsidP="001F2EA8">
      <w:pPr>
        <w:pStyle w:val="a5"/>
        <w:tabs>
          <w:tab w:val="left" w:pos="993"/>
        </w:tabs>
        <w:ind w:left="561"/>
        <w:rPr>
          <w:rFonts w:ascii="Times New Roman" w:hAnsi="Times New Roman"/>
          <w:sz w:val="26"/>
          <w:szCs w:val="26"/>
        </w:rPr>
      </w:pPr>
      <w:r w:rsidRPr="00343EF6">
        <w:rPr>
          <w:rFonts w:ascii="Times New Roman" w:hAnsi="Times New Roman"/>
          <w:sz w:val="26"/>
          <w:szCs w:val="26"/>
        </w:rPr>
        <w:t>7-8, 9, 10-11 классы – 90 минут (1,5 часа).</w:t>
      </w:r>
    </w:p>
    <w:p w:rsidR="001F2EA8" w:rsidRPr="00343EF6" w:rsidRDefault="001F2EA8" w:rsidP="001F2EA8">
      <w:pPr>
        <w:pStyle w:val="a5"/>
        <w:numPr>
          <w:ilvl w:val="1"/>
          <w:numId w:val="1"/>
        </w:numPr>
        <w:tabs>
          <w:tab w:val="left" w:pos="993"/>
        </w:tabs>
        <w:ind w:left="0" w:firstLine="561"/>
        <w:rPr>
          <w:rFonts w:ascii="Times New Roman" w:hAnsi="Times New Roman"/>
          <w:sz w:val="26"/>
          <w:szCs w:val="26"/>
        </w:rPr>
      </w:pPr>
      <w:r w:rsidRPr="00343EF6">
        <w:rPr>
          <w:rFonts w:ascii="Times New Roman" w:hAnsi="Times New Roman"/>
          <w:sz w:val="26"/>
          <w:szCs w:val="26"/>
        </w:rPr>
        <w:lastRenderedPageBreak/>
        <w:t>Олимпиадные задания теоретического тура состоят из двух частей:</w:t>
      </w:r>
    </w:p>
    <w:p w:rsidR="001F2EA8" w:rsidRPr="00343EF6" w:rsidRDefault="001F2EA8" w:rsidP="001F2EA8">
      <w:pPr>
        <w:pStyle w:val="a5"/>
        <w:numPr>
          <w:ilvl w:val="0"/>
          <w:numId w:val="8"/>
        </w:numPr>
        <w:tabs>
          <w:tab w:val="left" w:pos="993"/>
        </w:tabs>
        <w:autoSpaceDE w:val="0"/>
        <w:autoSpaceDN w:val="0"/>
        <w:adjustRightInd w:val="0"/>
        <w:ind w:left="0" w:firstLine="709"/>
        <w:contextualSpacing w:val="0"/>
        <w:jc w:val="both"/>
        <w:rPr>
          <w:rFonts w:ascii="Times New Roman" w:hAnsi="Times New Roman"/>
          <w:sz w:val="26"/>
          <w:szCs w:val="26"/>
        </w:rPr>
      </w:pPr>
      <w:r w:rsidRPr="00343EF6">
        <w:rPr>
          <w:rFonts w:ascii="Times New Roman" w:hAnsi="Times New Roman"/>
          <w:sz w:val="26"/>
          <w:szCs w:val="26"/>
        </w:rPr>
        <w:t>первая часть – теоретическая, где участники выполняют теоретические задания в форме письменного ответа на вопросы (тесты открытого типа);</w:t>
      </w:r>
    </w:p>
    <w:p w:rsidR="001F2EA8" w:rsidRPr="00343EF6" w:rsidRDefault="001F2EA8" w:rsidP="001F2EA8">
      <w:pPr>
        <w:pStyle w:val="a5"/>
        <w:numPr>
          <w:ilvl w:val="0"/>
          <w:numId w:val="8"/>
        </w:numPr>
        <w:autoSpaceDE w:val="0"/>
        <w:autoSpaceDN w:val="0"/>
        <w:adjustRightInd w:val="0"/>
        <w:ind w:left="993" w:hanging="284"/>
        <w:contextualSpacing w:val="0"/>
        <w:jc w:val="both"/>
        <w:rPr>
          <w:rFonts w:ascii="Times New Roman" w:hAnsi="Times New Roman"/>
          <w:sz w:val="26"/>
          <w:szCs w:val="26"/>
        </w:rPr>
      </w:pPr>
      <w:r w:rsidRPr="00343EF6">
        <w:rPr>
          <w:rFonts w:ascii="Times New Roman" w:hAnsi="Times New Roman"/>
          <w:sz w:val="26"/>
          <w:szCs w:val="26"/>
        </w:rPr>
        <w:t>вторая часть – тестирование (тесты закрытого типа):</w:t>
      </w:r>
    </w:p>
    <w:p w:rsidR="001F2EA8" w:rsidRPr="00343EF6" w:rsidRDefault="001F2EA8" w:rsidP="001F2EA8">
      <w:pPr>
        <w:pStyle w:val="a5"/>
        <w:numPr>
          <w:ilvl w:val="0"/>
          <w:numId w:val="9"/>
        </w:numPr>
        <w:autoSpaceDE w:val="0"/>
        <w:autoSpaceDN w:val="0"/>
        <w:adjustRightInd w:val="0"/>
        <w:ind w:left="1276" w:hanging="283"/>
        <w:contextualSpacing w:val="0"/>
        <w:jc w:val="both"/>
        <w:rPr>
          <w:rFonts w:ascii="Times New Roman" w:hAnsi="Times New Roman"/>
          <w:sz w:val="26"/>
          <w:szCs w:val="26"/>
        </w:rPr>
      </w:pPr>
      <w:r w:rsidRPr="00343EF6">
        <w:rPr>
          <w:rFonts w:ascii="Times New Roman" w:hAnsi="Times New Roman"/>
          <w:sz w:val="26"/>
          <w:szCs w:val="26"/>
        </w:rPr>
        <w:t>Часть 1. Определите один правильный ответ,</w:t>
      </w:r>
    </w:p>
    <w:p w:rsidR="001F2EA8" w:rsidRPr="00343EF6" w:rsidRDefault="001F2EA8" w:rsidP="001F2EA8">
      <w:pPr>
        <w:pStyle w:val="a5"/>
        <w:numPr>
          <w:ilvl w:val="0"/>
          <w:numId w:val="9"/>
        </w:numPr>
        <w:autoSpaceDE w:val="0"/>
        <w:autoSpaceDN w:val="0"/>
        <w:adjustRightInd w:val="0"/>
        <w:ind w:left="1276" w:hanging="283"/>
        <w:contextualSpacing w:val="0"/>
        <w:jc w:val="both"/>
        <w:rPr>
          <w:rFonts w:ascii="Times New Roman" w:hAnsi="Times New Roman"/>
          <w:sz w:val="26"/>
          <w:szCs w:val="26"/>
        </w:rPr>
      </w:pPr>
      <w:r w:rsidRPr="00343EF6">
        <w:rPr>
          <w:rFonts w:ascii="Times New Roman" w:hAnsi="Times New Roman"/>
          <w:sz w:val="26"/>
          <w:szCs w:val="26"/>
        </w:rPr>
        <w:t>Часть 2. Определите все правильные ответы.</w:t>
      </w:r>
    </w:p>
    <w:p w:rsidR="001F2EA8" w:rsidRPr="00343EF6" w:rsidRDefault="001F2EA8" w:rsidP="001F2EA8">
      <w:pPr>
        <w:pStyle w:val="a5"/>
        <w:numPr>
          <w:ilvl w:val="1"/>
          <w:numId w:val="1"/>
        </w:numPr>
        <w:spacing w:after="120"/>
        <w:ind w:left="709" w:hanging="709"/>
        <w:jc w:val="both"/>
        <w:rPr>
          <w:rFonts w:ascii="Times New Roman" w:hAnsi="Times New Roman"/>
          <w:sz w:val="26"/>
          <w:szCs w:val="26"/>
        </w:rPr>
      </w:pPr>
      <w:r w:rsidRPr="00343EF6">
        <w:rPr>
          <w:rFonts w:ascii="Times New Roman" w:hAnsi="Times New Roman"/>
          <w:sz w:val="26"/>
          <w:szCs w:val="26"/>
        </w:rPr>
        <w:t>Количество заданий теоретического тура в каждой возрастной параллели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849"/>
        <w:gridCol w:w="1602"/>
        <w:gridCol w:w="1782"/>
        <w:gridCol w:w="2134"/>
      </w:tblGrid>
      <w:tr w:rsidR="001F2EA8" w:rsidRPr="00343EF6" w:rsidTr="007E61A1">
        <w:trPr>
          <w:trHeight w:val="465"/>
        </w:trPr>
        <w:tc>
          <w:tcPr>
            <w:tcW w:w="1083" w:type="pct"/>
            <w:vMerge w:val="restart"/>
            <w:vAlign w:val="center"/>
          </w:tcPr>
          <w:p w:rsidR="001F2EA8" w:rsidRPr="00343EF6" w:rsidRDefault="001F2EA8" w:rsidP="007E61A1">
            <w:pPr>
              <w:jc w:val="center"/>
              <w:rPr>
                <w:sz w:val="26"/>
                <w:szCs w:val="26"/>
              </w:rPr>
            </w:pPr>
            <w:r w:rsidRPr="00343EF6">
              <w:rPr>
                <w:sz w:val="26"/>
                <w:szCs w:val="26"/>
              </w:rPr>
              <w:t>Комплект</w:t>
            </w:r>
          </w:p>
        </w:tc>
        <w:tc>
          <w:tcPr>
            <w:tcW w:w="1333" w:type="pct"/>
            <w:vMerge w:val="restart"/>
            <w:vAlign w:val="center"/>
          </w:tcPr>
          <w:p w:rsidR="001F2EA8" w:rsidRPr="00343EF6" w:rsidRDefault="001F2EA8" w:rsidP="007E61A1">
            <w:pPr>
              <w:jc w:val="center"/>
              <w:rPr>
                <w:sz w:val="26"/>
                <w:szCs w:val="26"/>
                <w:lang w:val="en-US"/>
              </w:rPr>
            </w:pPr>
            <w:r w:rsidRPr="00343EF6">
              <w:rPr>
                <w:sz w:val="26"/>
                <w:szCs w:val="26"/>
              </w:rPr>
              <w:t>первая часть – теоретическая</w:t>
            </w:r>
          </w:p>
        </w:tc>
        <w:tc>
          <w:tcPr>
            <w:tcW w:w="1584" w:type="pct"/>
            <w:gridSpan w:val="2"/>
            <w:vAlign w:val="center"/>
          </w:tcPr>
          <w:p w:rsidR="001F2EA8" w:rsidRPr="00343EF6" w:rsidRDefault="001F2EA8" w:rsidP="007E61A1">
            <w:pPr>
              <w:jc w:val="center"/>
              <w:rPr>
                <w:sz w:val="26"/>
                <w:szCs w:val="26"/>
              </w:rPr>
            </w:pPr>
            <w:r w:rsidRPr="00343EF6">
              <w:rPr>
                <w:sz w:val="26"/>
                <w:szCs w:val="26"/>
              </w:rPr>
              <w:t>вторая часть – тестирование</w:t>
            </w:r>
          </w:p>
        </w:tc>
        <w:tc>
          <w:tcPr>
            <w:tcW w:w="999" w:type="pct"/>
            <w:vMerge w:val="restart"/>
          </w:tcPr>
          <w:p w:rsidR="001F2EA8" w:rsidRPr="00343EF6" w:rsidRDefault="001F2EA8" w:rsidP="007E61A1">
            <w:pPr>
              <w:jc w:val="center"/>
              <w:rPr>
                <w:sz w:val="26"/>
                <w:szCs w:val="26"/>
              </w:rPr>
            </w:pPr>
            <w:r w:rsidRPr="00343EF6">
              <w:rPr>
                <w:sz w:val="26"/>
                <w:szCs w:val="26"/>
              </w:rPr>
              <w:t>Всего заданий</w:t>
            </w:r>
          </w:p>
        </w:tc>
      </w:tr>
      <w:tr w:rsidR="001F2EA8" w:rsidRPr="00343EF6" w:rsidTr="007E61A1">
        <w:tc>
          <w:tcPr>
            <w:tcW w:w="1083" w:type="pct"/>
            <w:vMerge/>
          </w:tcPr>
          <w:p w:rsidR="001F2EA8" w:rsidRPr="00343EF6" w:rsidRDefault="001F2EA8" w:rsidP="007E61A1">
            <w:pPr>
              <w:jc w:val="center"/>
              <w:rPr>
                <w:sz w:val="26"/>
                <w:szCs w:val="26"/>
              </w:rPr>
            </w:pPr>
          </w:p>
        </w:tc>
        <w:tc>
          <w:tcPr>
            <w:tcW w:w="1333" w:type="pct"/>
            <w:vMerge/>
          </w:tcPr>
          <w:p w:rsidR="001F2EA8" w:rsidRPr="00343EF6" w:rsidRDefault="001F2EA8" w:rsidP="007E61A1">
            <w:pPr>
              <w:pStyle w:val="a5"/>
              <w:ind w:left="0"/>
              <w:jc w:val="center"/>
              <w:rPr>
                <w:rFonts w:ascii="Times New Roman" w:hAnsi="Times New Roman"/>
                <w:sz w:val="26"/>
                <w:szCs w:val="26"/>
              </w:rPr>
            </w:pPr>
          </w:p>
        </w:tc>
        <w:tc>
          <w:tcPr>
            <w:tcW w:w="750"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Часть 1</w:t>
            </w:r>
          </w:p>
        </w:tc>
        <w:tc>
          <w:tcPr>
            <w:tcW w:w="834"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Часть 2</w:t>
            </w:r>
          </w:p>
        </w:tc>
        <w:tc>
          <w:tcPr>
            <w:tcW w:w="999" w:type="pct"/>
            <w:vMerge/>
          </w:tcPr>
          <w:p w:rsidR="001F2EA8" w:rsidRPr="00343EF6" w:rsidRDefault="001F2EA8" w:rsidP="007E61A1">
            <w:pPr>
              <w:pStyle w:val="a5"/>
              <w:ind w:left="0"/>
              <w:jc w:val="center"/>
              <w:rPr>
                <w:rFonts w:ascii="Times New Roman" w:hAnsi="Times New Roman"/>
                <w:sz w:val="26"/>
                <w:szCs w:val="26"/>
              </w:rPr>
            </w:pPr>
          </w:p>
        </w:tc>
      </w:tr>
      <w:tr w:rsidR="001F2EA8" w:rsidRPr="00343EF6" w:rsidTr="007E61A1">
        <w:tc>
          <w:tcPr>
            <w:tcW w:w="1083" w:type="pct"/>
          </w:tcPr>
          <w:p w:rsidR="001F2EA8" w:rsidRPr="00343EF6" w:rsidRDefault="001F2EA8" w:rsidP="007E61A1">
            <w:pPr>
              <w:jc w:val="center"/>
              <w:rPr>
                <w:sz w:val="26"/>
                <w:szCs w:val="26"/>
              </w:rPr>
            </w:pPr>
            <w:r w:rsidRPr="00343EF6">
              <w:rPr>
                <w:sz w:val="26"/>
                <w:szCs w:val="26"/>
              </w:rPr>
              <w:t>7-8 классы</w:t>
            </w:r>
          </w:p>
        </w:tc>
        <w:tc>
          <w:tcPr>
            <w:tcW w:w="1333"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5</w:t>
            </w:r>
          </w:p>
        </w:tc>
        <w:tc>
          <w:tcPr>
            <w:tcW w:w="750"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834"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999"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25</w:t>
            </w:r>
          </w:p>
        </w:tc>
      </w:tr>
      <w:tr w:rsidR="001F2EA8" w:rsidRPr="00343EF6" w:rsidTr="007E61A1">
        <w:tc>
          <w:tcPr>
            <w:tcW w:w="1083" w:type="pct"/>
          </w:tcPr>
          <w:p w:rsidR="001F2EA8" w:rsidRPr="00343EF6" w:rsidRDefault="001F2EA8" w:rsidP="007E61A1">
            <w:pPr>
              <w:jc w:val="center"/>
              <w:rPr>
                <w:sz w:val="26"/>
                <w:szCs w:val="26"/>
              </w:rPr>
            </w:pPr>
            <w:r w:rsidRPr="00343EF6">
              <w:rPr>
                <w:sz w:val="26"/>
                <w:szCs w:val="26"/>
              </w:rPr>
              <w:t>9 класс</w:t>
            </w:r>
          </w:p>
        </w:tc>
        <w:tc>
          <w:tcPr>
            <w:tcW w:w="1333"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5</w:t>
            </w:r>
          </w:p>
        </w:tc>
        <w:tc>
          <w:tcPr>
            <w:tcW w:w="750"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834"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999"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25</w:t>
            </w:r>
          </w:p>
        </w:tc>
      </w:tr>
      <w:tr w:rsidR="001F2EA8" w:rsidRPr="00343EF6" w:rsidTr="007E61A1">
        <w:tc>
          <w:tcPr>
            <w:tcW w:w="1083" w:type="pct"/>
          </w:tcPr>
          <w:p w:rsidR="001F2EA8" w:rsidRPr="00343EF6" w:rsidRDefault="001F2EA8" w:rsidP="007E61A1">
            <w:pPr>
              <w:jc w:val="center"/>
              <w:rPr>
                <w:sz w:val="26"/>
                <w:szCs w:val="26"/>
              </w:rPr>
            </w:pPr>
            <w:r w:rsidRPr="00343EF6">
              <w:rPr>
                <w:sz w:val="26"/>
                <w:szCs w:val="26"/>
              </w:rPr>
              <w:t>10-11 классы</w:t>
            </w:r>
          </w:p>
        </w:tc>
        <w:tc>
          <w:tcPr>
            <w:tcW w:w="1333"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5</w:t>
            </w:r>
          </w:p>
        </w:tc>
        <w:tc>
          <w:tcPr>
            <w:tcW w:w="750"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834"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999" w:type="pct"/>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25</w:t>
            </w:r>
          </w:p>
        </w:tc>
      </w:tr>
    </w:tbl>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Комплекты заданий муниципального этапа олимпиады по основам безопасности жизнедеятельности содержат задания, бланки ответов на задания, ответы и критерии оценивания заданий для каждой возрастной параллели. В комплекты входят задания различного уровня сложности.</w:t>
      </w:r>
    </w:p>
    <w:p w:rsidR="001F2EA8" w:rsidRPr="00343EF6" w:rsidRDefault="001F2EA8" w:rsidP="001F2EA8">
      <w:pPr>
        <w:pStyle w:val="a5"/>
        <w:ind w:left="0"/>
        <w:contextualSpacing w:val="0"/>
        <w:jc w:val="center"/>
        <w:rPr>
          <w:rFonts w:ascii="Times New Roman" w:hAnsi="Times New Roman"/>
          <w:b/>
          <w:bCs/>
          <w:sz w:val="26"/>
          <w:szCs w:val="26"/>
        </w:rPr>
      </w:pPr>
    </w:p>
    <w:p w:rsidR="001F2EA8" w:rsidRPr="00343EF6" w:rsidRDefault="001F2EA8" w:rsidP="001F2EA8">
      <w:pPr>
        <w:pStyle w:val="a5"/>
        <w:ind w:left="0"/>
        <w:contextualSpacing w:val="0"/>
        <w:jc w:val="center"/>
        <w:rPr>
          <w:rFonts w:ascii="Times New Roman" w:hAnsi="Times New Roman"/>
          <w:b/>
          <w:bCs/>
          <w:sz w:val="26"/>
          <w:szCs w:val="26"/>
        </w:rPr>
      </w:pPr>
      <w:r w:rsidRPr="00343EF6">
        <w:rPr>
          <w:rFonts w:ascii="Times New Roman" w:hAnsi="Times New Roman"/>
          <w:b/>
          <w:bCs/>
          <w:sz w:val="26"/>
          <w:szCs w:val="26"/>
        </w:rPr>
        <w:t xml:space="preserve">Критерии и методики оценивания </w:t>
      </w:r>
    </w:p>
    <w:p w:rsidR="001F2EA8" w:rsidRPr="00343EF6" w:rsidRDefault="001F2EA8" w:rsidP="001F2EA8">
      <w:pPr>
        <w:pStyle w:val="a5"/>
        <w:ind w:left="0"/>
        <w:contextualSpacing w:val="0"/>
        <w:jc w:val="center"/>
        <w:rPr>
          <w:rFonts w:ascii="Times New Roman" w:hAnsi="Times New Roman"/>
          <w:b/>
          <w:bCs/>
          <w:sz w:val="26"/>
          <w:szCs w:val="26"/>
        </w:rPr>
      </w:pPr>
      <w:r w:rsidRPr="00343EF6">
        <w:rPr>
          <w:rFonts w:ascii="Times New Roman" w:hAnsi="Times New Roman"/>
          <w:b/>
          <w:bCs/>
          <w:sz w:val="26"/>
          <w:szCs w:val="26"/>
        </w:rPr>
        <w:t>выполненных олимпиадных заданий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 xml:space="preserve">Система и методика оценивания олимпиадных заданий муниципального этапа олимпиады по основам безопасности жизнедеятельности позволяет объективно выявить реальный уровень подготовки участников олимпиады. </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При разработке методики оценивания олимпиадных заданий региональная предметно-методическая комиссия учитывала следующее:</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 xml:space="preserve">по всем заданиям начисление баллов производится целыми, </w:t>
      </w:r>
      <w:r w:rsidRPr="00343EF6">
        <w:rPr>
          <w:rFonts w:ascii="Times New Roman" w:hAnsi="Times New Roman"/>
          <w:sz w:val="26"/>
          <w:szCs w:val="26"/>
        </w:rPr>
        <w:br/>
        <w:t>а не дробными числами, чтобы уйти от ошибок, т.к. дробные числа только увеличат их вероятность, при этом общий результат будет получен в целых числах, что упростит подсчет баллов всех участников;</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размер максимальных баллов за олимпиадные задания устанавливается в зависимости от уровня сложности задания, за задания одного уровня сложности начисляется одинаковый максимальный балл;</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общий результат получается путем простого сложения баллов, полученных участниками за каждое задание,</w:t>
      </w:r>
    </w:p>
    <w:p w:rsidR="001F2EA8" w:rsidRPr="00343EF6" w:rsidRDefault="001F2EA8" w:rsidP="001F2EA8">
      <w:pPr>
        <w:pStyle w:val="a5"/>
        <w:numPr>
          <w:ilvl w:val="0"/>
          <w:numId w:val="4"/>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 xml:space="preserve">В первой части (теоретической) оценивание заданий производится исходя из максимального балла за каждое задание, указанного в приведенной ниже таблице (п. 1.16). </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части 1 тестирования представлены тестовые задания в закрытой форме с выбором одного правильного ответа. Все правильные ответы, выбранные участником олимпиады, оцениваются в 1 балл. 0 баллов выставляется за неправильный ответ, а также, если участником отмечено более одного ответа (в том числе правильный).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 xml:space="preserve">В части 2 тестирования представлены тестовые задания в закрытой форме с выбором нескольких правильных ответов. За каждый правильный вариант ответа на вопрос, выбранный участником олимпиады, начисляется 1 балл, </w:t>
      </w:r>
      <w:proofErr w:type="gramStart"/>
      <w:r w:rsidRPr="00343EF6">
        <w:rPr>
          <w:rFonts w:ascii="Times New Roman" w:hAnsi="Times New Roman"/>
          <w:sz w:val="26"/>
          <w:szCs w:val="26"/>
        </w:rPr>
        <w:t>за</w:t>
      </w:r>
      <w:proofErr w:type="gramEnd"/>
      <w:r w:rsidRPr="00343EF6">
        <w:rPr>
          <w:rFonts w:ascii="Times New Roman" w:hAnsi="Times New Roman"/>
          <w:sz w:val="26"/>
          <w:szCs w:val="26"/>
        </w:rPr>
        <w:t xml:space="preserve"> неправильный – 0 баллов. Если отмечено больше вариантов ответов (в том числе </w:t>
      </w:r>
      <w:proofErr w:type="gramStart"/>
      <w:r w:rsidRPr="00343EF6">
        <w:rPr>
          <w:rFonts w:ascii="Times New Roman" w:hAnsi="Times New Roman"/>
          <w:sz w:val="26"/>
          <w:szCs w:val="26"/>
        </w:rPr>
        <w:t>правильные</w:t>
      </w:r>
      <w:proofErr w:type="gramEnd"/>
      <w:r w:rsidRPr="00343EF6">
        <w:rPr>
          <w:rFonts w:ascii="Times New Roman" w:hAnsi="Times New Roman"/>
          <w:sz w:val="26"/>
          <w:szCs w:val="26"/>
        </w:rPr>
        <w:t>), чем необходимо, начисляется 0 баллов за этот вопрос.</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 xml:space="preserve">Проверка олимпиадных </w:t>
      </w:r>
      <w:proofErr w:type="gramStart"/>
      <w:r w:rsidRPr="00343EF6">
        <w:rPr>
          <w:rFonts w:ascii="Times New Roman" w:hAnsi="Times New Roman"/>
          <w:sz w:val="26"/>
          <w:szCs w:val="26"/>
        </w:rPr>
        <w:t>работ теоретического тура участников муниципального этапа олимпиады</w:t>
      </w:r>
      <w:proofErr w:type="gramEnd"/>
      <w:r w:rsidRPr="00343EF6">
        <w:rPr>
          <w:rFonts w:ascii="Times New Roman" w:hAnsi="Times New Roman"/>
          <w:sz w:val="26"/>
          <w:szCs w:val="26"/>
        </w:rPr>
        <w:t xml:space="preserve"> по основам безопасности жизнедеятельности осуществляется исходя из следующих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692"/>
        <w:gridCol w:w="692"/>
        <w:gridCol w:w="692"/>
        <w:gridCol w:w="692"/>
        <w:gridCol w:w="692"/>
        <w:gridCol w:w="1217"/>
        <w:gridCol w:w="1042"/>
        <w:gridCol w:w="1041"/>
        <w:gridCol w:w="605"/>
        <w:gridCol w:w="1925"/>
      </w:tblGrid>
      <w:tr w:rsidR="001F2EA8" w:rsidRPr="00343EF6" w:rsidTr="007E61A1">
        <w:trPr>
          <w:trHeight w:val="311"/>
        </w:trPr>
        <w:tc>
          <w:tcPr>
            <w:tcW w:w="656" w:type="pct"/>
            <w:vMerge w:val="restart"/>
            <w:shd w:val="clear" w:color="auto" w:fill="auto"/>
            <w:vAlign w:val="center"/>
          </w:tcPr>
          <w:p w:rsidR="001F2EA8" w:rsidRPr="00343EF6" w:rsidRDefault="001F2EA8" w:rsidP="007E61A1">
            <w:pPr>
              <w:ind w:left="-108" w:right="-108"/>
              <w:jc w:val="center"/>
              <w:rPr>
                <w:sz w:val="26"/>
                <w:szCs w:val="26"/>
              </w:rPr>
            </w:pPr>
            <w:r w:rsidRPr="00343EF6">
              <w:rPr>
                <w:sz w:val="26"/>
                <w:szCs w:val="26"/>
              </w:rPr>
              <w:lastRenderedPageBreak/>
              <w:t>Комплект</w:t>
            </w:r>
          </w:p>
        </w:tc>
        <w:tc>
          <w:tcPr>
            <w:tcW w:w="3483" w:type="pct"/>
            <w:gridSpan w:val="9"/>
            <w:shd w:val="clear" w:color="auto" w:fill="auto"/>
            <w:vAlign w:val="center"/>
          </w:tcPr>
          <w:p w:rsidR="001F2EA8" w:rsidRPr="00343EF6" w:rsidRDefault="001F2EA8" w:rsidP="007E61A1">
            <w:pPr>
              <w:jc w:val="center"/>
              <w:rPr>
                <w:sz w:val="26"/>
                <w:szCs w:val="26"/>
              </w:rPr>
            </w:pPr>
            <w:r w:rsidRPr="00343EF6">
              <w:rPr>
                <w:sz w:val="26"/>
                <w:szCs w:val="26"/>
              </w:rPr>
              <w:t>Баллы</w:t>
            </w:r>
          </w:p>
        </w:tc>
        <w:tc>
          <w:tcPr>
            <w:tcW w:w="861" w:type="pct"/>
            <w:vMerge w:val="restart"/>
            <w:shd w:val="clear" w:color="auto" w:fill="auto"/>
            <w:vAlign w:val="center"/>
          </w:tcPr>
          <w:p w:rsidR="001F2EA8" w:rsidRPr="00343EF6" w:rsidRDefault="001F2EA8" w:rsidP="007E61A1">
            <w:pPr>
              <w:jc w:val="center"/>
              <w:rPr>
                <w:sz w:val="26"/>
                <w:szCs w:val="26"/>
              </w:rPr>
            </w:pPr>
            <w:r w:rsidRPr="00343EF6">
              <w:rPr>
                <w:sz w:val="26"/>
                <w:szCs w:val="26"/>
              </w:rPr>
              <w:t>Максимальный балл</w:t>
            </w:r>
          </w:p>
        </w:tc>
      </w:tr>
      <w:tr w:rsidR="001F2EA8" w:rsidRPr="00343EF6" w:rsidTr="007E61A1">
        <w:trPr>
          <w:trHeight w:val="465"/>
        </w:trPr>
        <w:tc>
          <w:tcPr>
            <w:tcW w:w="656" w:type="pct"/>
            <w:vMerge/>
            <w:shd w:val="clear" w:color="auto" w:fill="auto"/>
            <w:vAlign w:val="center"/>
          </w:tcPr>
          <w:p w:rsidR="001F2EA8" w:rsidRPr="00343EF6" w:rsidRDefault="001F2EA8" w:rsidP="007E61A1">
            <w:pPr>
              <w:jc w:val="center"/>
              <w:rPr>
                <w:sz w:val="26"/>
                <w:szCs w:val="26"/>
              </w:rPr>
            </w:pPr>
          </w:p>
        </w:tc>
        <w:tc>
          <w:tcPr>
            <w:tcW w:w="2213" w:type="pct"/>
            <w:gridSpan w:val="6"/>
            <w:shd w:val="clear" w:color="auto" w:fill="auto"/>
            <w:vAlign w:val="center"/>
          </w:tcPr>
          <w:p w:rsidR="001F2EA8" w:rsidRPr="00343EF6" w:rsidRDefault="001F2EA8" w:rsidP="007E61A1">
            <w:pPr>
              <w:jc w:val="center"/>
              <w:rPr>
                <w:sz w:val="26"/>
                <w:szCs w:val="26"/>
                <w:lang w:val="en-US"/>
              </w:rPr>
            </w:pPr>
            <w:r w:rsidRPr="00343EF6">
              <w:rPr>
                <w:sz w:val="26"/>
                <w:szCs w:val="26"/>
              </w:rPr>
              <w:t>первая часть – теоретическая</w:t>
            </w:r>
          </w:p>
        </w:tc>
        <w:tc>
          <w:tcPr>
            <w:tcW w:w="1270" w:type="pct"/>
            <w:gridSpan w:val="3"/>
            <w:shd w:val="clear" w:color="auto" w:fill="auto"/>
            <w:vAlign w:val="center"/>
          </w:tcPr>
          <w:p w:rsidR="001F2EA8" w:rsidRPr="00343EF6" w:rsidRDefault="001F2EA8" w:rsidP="007E61A1">
            <w:pPr>
              <w:jc w:val="center"/>
              <w:rPr>
                <w:sz w:val="26"/>
                <w:szCs w:val="26"/>
              </w:rPr>
            </w:pPr>
            <w:r w:rsidRPr="00343EF6">
              <w:rPr>
                <w:sz w:val="26"/>
                <w:szCs w:val="26"/>
              </w:rPr>
              <w:t>вторая часть – тестирование</w:t>
            </w:r>
          </w:p>
        </w:tc>
        <w:tc>
          <w:tcPr>
            <w:tcW w:w="861" w:type="pct"/>
            <w:vMerge/>
            <w:shd w:val="clear" w:color="auto" w:fill="auto"/>
          </w:tcPr>
          <w:p w:rsidR="001F2EA8" w:rsidRPr="00343EF6" w:rsidRDefault="001F2EA8" w:rsidP="007E61A1">
            <w:pPr>
              <w:jc w:val="center"/>
              <w:rPr>
                <w:sz w:val="26"/>
                <w:szCs w:val="26"/>
              </w:rPr>
            </w:pPr>
          </w:p>
        </w:tc>
      </w:tr>
      <w:tr w:rsidR="001F2EA8" w:rsidRPr="00343EF6" w:rsidTr="007E61A1">
        <w:trPr>
          <w:trHeight w:val="411"/>
        </w:trPr>
        <w:tc>
          <w:tcPr>
            <w:tcW w:w="656" w:type="pct"/>
            <w:vMerge/>
            <w:shd w:val="clear" w:color="auto" w:fill="auto"/>
          </w:tcPr>
          <w:p w:rsidR="001F2EA8" w:rsidRPr="00343EF6" w:rsidRDefault="001F2EA8" w:rsidP="007E61A1">
            <w:pPr>
              <w:jc w:val="center"/>
              <w:rPr>
                <w:sz w:val="26"/>
                <w:szCs w:val="26"/>
              </w:rPr>
            </w:pP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3</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4</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5</w:t>
            </w:r>
          </w:p>
        </w:tc>
        <w:tc>
          <w:tcPr>
            <w:tcW w:w="574"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Viner Hand ITC" w:hAnsi="Viner Hand ITC"/>
                <w:sz w:val="26"/>
                <w:szCs w:val="26"/>
              </w:rPr>
              <w:t>∑</w:t>
            </w:r>
          </w:p>
        </w:tc>
        <w:tc>
          <w:tcPr>
            <w:tcW w:w="492"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Часть 1</w:t>
            </w:r>
          </w:p>
        </w:tc>
        <w:tc>
          <w:tcPr>
            <w:tcW w:w="49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Часть 2</w:t>
            </w:r>
          </w:p>
        </w:tc>
        <w:tc>
          <w:tcPr>
            <w:tcW w:w="287"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Viner Hand ITC" w:hAnsi="Viner Hand ITC"/>
                <w:sz w:val="26"/>
                <w:szCs w:val="26"/>
              </w:rPr>
              <w:t>∑</w:t>
            </w:r>
          </w:p>
        </w:tc>
        <w:tc>
          <w:tcPr>
            <w:tcW w:w="861" w:type="pct"/>
            <w:vMerge/>
            <w:shd w:val="clear" w:color="auto" w:fill="auto"/>
          </w:tcPr>
          <w:p w:rsidR="001F2EA8" w:rsidRPr="00343EF6" w:rsidRDefault="001F2EA8" w:rsidP="007E61A1">
            <w:pPr>
              <w:pStyle w:val="a5"/>
              <w:ind w:left="0"/>
              <w:jc w:val="center"/>
              <w:rPr>
                <w:rFonts w:ascii="Times New Roman" w:hAnsi="Times New Roman"/>
                <w:sz w:val="26"/>
                <w:szCs w:val="26"/>
              </w:rPr>
            </w:pPr>
          </w:p>
        </w:tc>
      </w:tr>
      <w:tr w:rsidR="001F2EA8" w:rsidRPr="00343EF6" w:rsidTr="007E61A1">
        <w:tc>
          <w:tcPr>
            <w:tcW w:w="656" w:type="pct"/>
            <w:shd w:val="clear" w:color="auto" w:fill="auto"/>
          </w:tcPr>
          <w:p w:rsidR="001F2EA8" w:rsidRPr="00343EF6" w:rsidRDefault="001F2EA8" w:rsidP="007E61A1">
            <w:pPr>
              <w:jc w:val="center"/>
              <w:rPr>
                <w:sz w:val="26"/>
                <w:szCs w:val="26"/>
              </w:rPr>
            </w:pPr>
            <w:r w:rsidRPr="00343EF6">
              <w:rPr>
                <w:sz w:val="26"/>
                <w:szCs w:val="26"/>
              </w:rPr>
              <w:t>7-8 классы</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15</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26</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5</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20</w:t>
            </w:r>
          </w:p>
        </w:tc>
        <w:tc>
          <w:tcPr>
            <w:tcW w:w="574"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76</w:t>
            </w:r>
          </w:p>
        </w:tc>
        <w:tc>
          <w:tcPr>
            <w:tcW w:w="492"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49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24</w:t>
            </w:r>
          </w:p>
        </w:tc>
        <w:tc>
          <w:tcPr>
            <w:tcW w:w="287"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34</w:t>
            </w:r>
          </w:p>
        </w:tc>
        <w:tc>
          <w:tcPr>
            <w:tcW w:w="86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110</w:t>
            </w:r>
          </w:p>
        </w:tc>
      </w:tr>
      <w:tr w:rsidR="001F2EA8" w:rsidRPr="00343EF6" w:rsidTr="007E61A1">
        <w:trPr>
          <w:trHeight w:val="187"/>
        </w:trPr>
        <w:tc>
          <w:tcPr>
            <w:tcW w:w="656" w:type="pct"/>
            <w:shd w:val="clear" w:color="auto" w:fill="auto"/>
          </w:tcPr>
          <w:p w:rsidR="001F2EA8" w:rsidRPr="00343EF6" w:rsidRDefault="001F2EA8" w:rsidP="007E61A1">
            <w:pPr>
              <w:jc w:val="center"/>
              <w:rPr>
                <w:sz w:val="26"/>
                <w:szCs w:val="26"/>
              </w:rPr>
            </w:pPr>
            <w:r w:rsidRPr="00343EF6">
              <w:rPr>
                <w:sz w:val="26"/>
                <w:szCs w:val="26"/>
              </w:rPr>
              <w:t xml:space="preserve">9 </w:t>
            </w:r>
          </w:p>
          <w:p w:rsidR="001F2EA8" w:rsidRPr="00343EF6" w:rsidRDefault="001F2EA8" w:rsidP="007E61A1">
            <w:pPr>
              <w:jc w:val="center"/>
              <w:rPr>
                <w:sz w:val="26"/>
                <w:szCs w:val="26"/>
              </w:rPr>
            </w:pPr>
            <w:r w:rsidRPr="00343EF6">
              <w:rPr>
                <w:sz w:val="26"/>
                <w:szCs w:val="26"/>
              </w:rPr>
              <w:t>класс</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20</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16</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14</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32</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20</w:t>
            </w:r>
          </w:p>
        </w:tc>
        <w:tc>
          <w:tcPr>
            <w:tcW w:w="574"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102</w:t>
            </w:r>
          </w:p>
        </w:tc>
        <w:tc>
          <w:tcPr>
            <w:tcW w:w="492"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49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26</w:t>
            </w:r>
          </w:p>
        </w:tc>
        <w:tc>
          <w:tcPr>
            <w:tcW w:w="287"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36</w:t>
            </w:r>
          </w:p>
        </w:tc>
        <w:tc>
          <w:tcPr>
            <w:tcW w:w="86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138</w:t>
            </w:r>
          </w:p>
        </w:tc>
      </w:tr>
      <w:tr w:rsidR="001F2EA8" w:rsidRPr="00343EF6" w:rsidTr="007E61A1">
        <w:tc>
          <w:tcPr>
            <w:tcW w:w="656" w:type="pct"/>
            <w:shd w:val="clear" w:color="auto" w:fill="auto"/>
          </w:tcPr>
          <w:p w:rsidR="001F2EA8" w:rsidRPr="00343EF6" w:rsidRDefault="001F2EA8" w:rsidP="007E61A1">
            <w:pPr>
              <w:jc w:val="center"/>
              <w:rPr>
                <w:sz w:val="26"/>
                <w:szCs w:val="26"/>
              </w:rPr>
            </w:pPr>
            <w:r w:rsidRPr="00343EF6">
              <w:rPr>
                <w:sz w:val="26"/>
                <w:szCs w:val="26"/>
              </w:rPr>
              <w:t>10-11 классы</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18</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22</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21</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30</w:t>
            </w:r>
          </w:p>
        </w:tc>
        <w:tc>
          <w:tcPr>
            <w:tcW w:w="328"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16</w:t>
            </w:r>
          </w:p>
        </w:tc>
        <w:tc>
          <w:tcPr>
            <w:tcW w:w="574"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107</w:t>
            </w:r>
          </w:p>
        </w:tc>
        <w:tc>
          <w:tcPr>
            <w:tcW w:w="492"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10</w:t>
            </w:r>
          </w:p>
        </w:tc>
        <w:tc>
          <w:tcPr>
            <w:tcW w:w="49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31</w:t>
            </w:r>
          </w:p>
        </w:tc>
        <w:tc>
          <w:tcPr>
            <w:tcW w:w="287" w:type="pct"/>
            <w:shd w:val="clear" w:color="auto" w:fill="auto"/>
          </w:tcPr>
          <w:p w:rsidR="001F2EA8" w:rsidRPr="00343EF6" w:rsidRDefault="001F2EA8" w:rsidP="007E61A1">
            <w:pPr>
              <w:pStyle w:val="a5"/>
              <w:ind w:left="0"/>
              <w:jc w:val="center"/>
              <w:rPr>
                <w:rFonts w:ascii="Times New Roman" w:hAnsi="Times New Roman"/>
                <w:i/>
                <w:sz w:val="26"/>
                <w:szCs w:val="26"/>
              </w:rPr>
            </w:pPr>
            <w:r w:rsidRPr="00343EF6">
              <w:rPr>
                <w:rFonts w:ascii="Times New Roman" w:hAnsi="Times New Roman"/>
                <w:i/>
                <w:sz w:val="26"/>
                <w:szCs w:val="26"/>
              </w:rPr>
              <w:t>41</w:t>
            </w:r>
          </w:p>
        </w:tc>
        <w:tc>
          <w:tcPr>
            <w:tcW w:w="861" w:type="pct"/>
            <w:shd w:val="clear" w:color="auto" w:fill="auto"/>
          </w:tcPr>
          <w:p w:rsidR="001F2EA8" w:rsidRPr="00343EF6" w:rsidRDefault="001F2EA8" w:rsidP="007E61A1">
            <w:pPr>
              <w:pStyle w:val="a5"/>
              <w:ind w:left="0"/>
              <w:jc w:val="center"/>
              <w:rPr>
                <w:rFonts w:ascii="Times New Roman" w:hAnsi="Times New Roman"/>
                <w:sz w:val="26"/>
                <w:szCs w:val="26"/>
              </w:rPr>
            </w:pPr>
            <w:r w:rsidRPr="00343EF6">
              <w:rPr>
                <w:rFonts w:ascii="Times New Roman" w:hAnsi="Times New Roman"/>
                <w:sz w:val="26"/>
                <w:szCs w:val="26"/>
              </w:rPr>
              <w:t>148</w:t>
            </w:r>
          </w:p>
        </w:tc>
      </w:tr>
    </w:tbl>
    <w:p w:rsidR="001F2EA8" w:rsidRPr="00343EF6" w:rsidRDefault="001F2EA8" w:rsidP="001F2EA8">
      <w:pPr>
        <w:jc w:val="both"/>
        <w:rPr>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t>Функции Оргкомитета</w:t>
      </w:r>
    </w:p>
    <w:p w:rsidR="001F2EA8" w:rsidRPr="00343EF6" w:rsidRDefault="001F2EA8" w:rsidP="001F2EA8">
      <w:pPr>
        <w:ind w:firstLine="709"/>
        <w:jc w:val="both"/>
        <w:rPr>
          <w:sz w:val="26"/>
          <w:szCs w:val="26"/>
        </w:rPr>
      </w:pPr>
      <w:r w:rsidRPr="00343EF6">
        <w:rPr>
          <w:sz w:val="26"/>
          <w:szCs w:val="26"/>
        </w:rPr>
        <w:t>Оргкомитет муниципального этапа олимпиады по основам безопасности жизнедеятельности выполняет следующие функции:</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определяет организационно-технологическую модель проведения муниципального этапа олимпиады по основам безопасности жизнедеятельности;</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proofErr w:type="gramStart"/>
      <w:r w:rsidRPr="00343EF6">
        <w:rPr>
          <w:rFonts w:ascii="Times New Roman" w:hAnsi="Times New Roman"/>
          <w:sz w:val="26"/>
          <w:szCs w:val="26"/>
        </w:rPr>
        <w:t>обеспечивает организацию и проведение муниципального этапа олимпиады по основам безопасности жизнедеятельности в соответствии с утвержденными организатором муниципального этапа требованиями к проведению муниципального этапа олимпиады по основам безопасности жизнедеятельности,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основам безопасности жизнедеятельности;</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несет ответственность за жизнь и здоровье участников олимпиады во время проведения муниципального этапа олимпиады по основам безопасности жизнедеятельности.</w:t>
      </w:r>
    </w:p>
    <w:p w:rsidR="001F2EA8" w:rsidRPr="00343EF6" w:rsidRDefault="001F2EA8" w:rsidP="001F2EA8">
      <w:pPr>
        <w:rPr>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t>Функции Жюри</w:t>
      </w:r>
    </w:p>
    <w:p w:rsidR="001F2EA8" w:rsidRPr="00343EF6" w:rsidRDefault="001F2EA8" w:rsidP="001F2EA8">
      <w:pPr>
        <w:ind w:firstLine="709"/>
        <w:jc w:val="both"/>
        <w:rPr>
          <w:sz w:val="26"/>
          <w:szCs w:val="26"/>
        </w:rPr>
      </w:pPr>
      <w:r w:rsidRPr="00343EF6">
        <w:rPr>
          <w:sz w:val="26"/>
          <w:szCs w:val="26"/>
        </w:rPr>
        <w:t>Жюри муниципального этапа олимпиады по основам безопасности жизнедеятельности выполняет следующие функции:</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принимает для оценивания закодированные (обезличенные) олимпиадные работы участников;</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проводит с участниками олимпиады анализ олимпиадных заданий и их решений;</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осуществляет  по запросу участника олимпиады показ выполненных им олимпиадных заданий;</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представляет результаты олимпиады ее участникам;</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рассматривает апелляции участников олимпиады с использованием видеофиксации;</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основам безопасности жизнедеятельности;</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представляет организатору результаты олимпиады (протоколы) для их утверждения;</w:t>
      </w:r>
    </w:p>
    <w:p w:rsidR="001F2EA8" w:rsidRPr="00343EF6" w:rsidRDefault="001F2EA8" w:rsidP="001F2EA8">
      <w:pPr>
        <w:pStyle w:val="a5"/>
        <w:numPr>
          <w:ilvl w:val="0"/>
          <w:numId w:val="3"/>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составляет и представляет организатору муниципального этапа олимпиады по основам безопасности жизнедеятельности аналитический отчет о результатах выполнения олимпиадных заданий.</w:t>
      </w:r>
    </w:p>
    <w:p w:rsidR="001F2EA8" w:rsidRPr="00343EF6" w:rsidRDefault="001F2EA8" w:rsidP="001F2EA8">
      <w:pPr>
        <w:pStyle w:val="a5"/>
        <w:ind w:left="360"/>
        <w:rPr>
          <w:rFonts w:ascii="Times New Roman" w:hAnsi="Times New Roman"/>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lastRenderedPageBreak/>
        <w:t>Порядок проведения олимпиады</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Муниципальный этап олимпиады по основам безопасности жизнедеятельности проводится для обучающихся 7-11 классов.</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Все участники олимпиады проходят в обязательном порядке процедуру регистрации.</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 xml:space="preserve">Технология осуществления регистрации </w:t>
      </w:r>
      <w:proofErr w:type="gramStart"/>
      <w:r w:rsidRPr="00343EF6">
        <w:rPr>
          <w:rFonts w:ascii="Times New Roman" w:hAnsi="Times New Roman"/>
          <w:sz w:val="26"/>
          <w:szCs w:val="26"/>
        </w:rPr>
        <w:t>обучающихся</w:t>
      </w:r>
      <w:proofErr w:type="gramEnd"/>
      <w:r w:rsidRPr="00343EF6">
        <w:rPr>
          <w:rFonts w:ascii="Times New Roman" w:hAnsi="Times New Roman"/>
          <w:sz w:val="26"/>
          <w:szCs w:val="26"/>
        </w:rPr>
        <w:t xml:space="preserve"> для участия в олимпиаде определяется Оргкомитетом.</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b/>
          <w:sz w:val="26"/>
          <w:szCs w:val="26"/>
        </w:rPr>
      </w:pPr>
      <w:r w:rsidRPr="00343EF6">
        <w:rPr>
          <w:rFonts w:ascii="Times New Roman" w:hAnsi="Times New Roman"/>
          <w:sz w:val="26"/>
          <w:szCs w:val="26"/>
        </w:rPr>
        <w:t>Материалы заданий, выдаваемые участникам олимпиады, качественно размножаются на листах формата А</w:t>
      </w:r>
      <w:proofErr w:type="gramStart"/>
      <w:r w:rsidRPr="00343EF6">
        <w:rPr>
          <w:rFonts w:ascii="Times New Roman" w:hAnsi="Times New Roman"/>
          <w:sz w:val="26"/>
          <w:szCs w:val="26"/>
        </w:rPr>
        <w:t>4</w:t>
      </w:r>
      <w:proofErr w:type="gramEnd"/>
      <w:r w:rsidRPr="00343EF6">
        <w:rPr>
          <w:rFonts w:ascii="Times New Roman" w:hAnsi="Times New Roman"/>
          <w:sz w:val="26"/>
          <w:szCs w:val="26"/>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В комплектах заданий, связанных с </w:t>
      </w:r>
      <w:r w:rsidRPr="00343EF6">
        <w:rPr>
          <w:rFonts w:ascii="Times New Roman" w:hAnsi="Times New Roman"/>
          <w:b/>
          <w:sz w:val="26"/>
          <w:szCs w:val="26"/>
        </w:rPr>
        <w:t>работой над изображениями</w:t>
      </w:r>
      <w:r w:rsidRPr="00343EF6">
        <w:rPr>
          <w:rFonts w:ascii="Times New Roman" w:hAnsi="Times New Roman"/>
          <w:sz w:val="26"/>
          <w:szCs w:val="26"/>
        </w:rPr>
        <w:t xml:space="preserve">, организуется их </w:t>
      </w:r>
      <w:r w:rsidRPr="00343EF6">
        <w:rPr>
          <w:rFonts w:ascii="Times New Roman" w:hAnsi="Times New Roman"/>
          <w:b/>
          <w:sz w:val="26"/>
          <w:szCs w:val="26"/>
        </w:rPr>
        <w:t>распечатка с цветной печатью для каждого участника.</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Во время работы над заданиями участник олимпиады имеет право:</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proofErr w:type="gramStart"/>
      <w:r w:rsidRPr="00343EF6">
        <w:rPr>
          <w:rFonts w:ascii="Times New Roman" w:hAnsi="Times New Roman"/>
          <w:sz w:val="26"/>
          <w:szCs w:val="26"/>
        </w:rPr>
        <w:t>пользоваться любыми своими канцелярскими принадлежностями наряду с выданными Оргкомитетом;</w:t>
      </w:r>
      <w:proofErr w:type="gramEnd"/>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обращаться с вопросами по поводу условий задач, приглашая к себе представителя Оргкомитета в аудитории поднятием руки;</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временно покидать аудиторию, оставляя у представителя Оргкомитета в аудитории свою работу.</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Во время работы над заданиями участнику запрещается:</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обращаться с вопросами к кому-либо, кроме представителя Оргкомитета в аудитории, свободно перемещаться по аудитории во время олимпиады;</w:t>
      </w:r>
    </w:p>
    <w:p w:rsidR="001F2EA8" w:rsidRPr="00343EF6" w:rsidRDefault="001F2EA8" w:rsidP="001F2EA8">
      <w:pPr>
        <w:pStyle w:val="a5"/>
        <w:numPr>
          <w:ilvl w:val="0"/>
          <w:numId w:val="2"/>
        </w:numPr>
        <w:tabs>
          <w:tab w:val="left" w:pos="993"/>
        </w:tabs>
        <w:ind w:left="0" w:firstLine="709"/>
        <w:jc w:val="both"/>
        <w:rPr>
          <w:rFonts w:ascii="Times New Roman" w:hAnsi="Times New Roman"/>
          <w:sz w:val="26"/>
          <w:szCs w:val="26"/>
        </w:rPr>
      </w:pPr>
      <w:r w:rsidRPr="00343EF6">
        <w:rPr>
          <w:rFonts w:ascii="Times New Roman" w:hAnsi="Times New Roman"/>
          <w:sz w:val="26"/>
          <w:szCs w:val="26"/>
        </w:rPr>
        <w:t>запрещается одновременный выход из аудитории двух и более участников.</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случае нарушения правил проведения олимпиады по решению Оргкомитета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Ответы записываются ручкой с синими или фиолетовыми чернилами.</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каждой аудитории представитель Оргкомитета на доске записывает время начала и время окончания олимпиады.</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Во время олимпиады участник может выходить из аудитории только в сопровождении представителя Оргкомитета, при этом его работа остается в аудитории. На ее обложке присутствующим в аудитории представителем Оргкомитета в аудитории делается пометка о времени ухода и прихода участника олимпиады. Время, потраченное на выход из аудитории, не компенсируется.</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Представитель Оргкомитета в аудитории напоминает участникам о времени, оставшемся до окончания олимпиады за 1 час, 15 минут и 5 минут.</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lastRenderedPageBreak/>
        <w:t>Участник может сдать работу досрочно, после чего должен покинуть аудиторию. Участник не может выйти из аудитории с заданием.</w:t>
      </w:r>
    </w:p>
    <w:p w:rsidR="001F2EA8" w:rsidRPr="00343EF6" w:rsidRDefault="001F2EA8" w:rsidP="001F2EA8">
      <w:pPr>
        <w:pStyle w:val="a5"/>
        <w:ind w:left="360"/>
        <w:rPr>
          <w:rFonts w:ascii="Times New Roman" w:hAnsi="Times New Roman"/>
          <w:b/>
          <w:sz w:val="26"/>
          <w:szCs w:val="26"/>
        </w:rPr>
      </w:pPr>
    </w:p>
    <w:p w:rsidR="001F2EA8" w:rsidRPr="00343EF6" w:rsidRDefault="001F2EA8" w:rsidP="001F2EA8">
      <w:pPr>
        <w:pStyle w:val="a5"/>
        <w:numPr>
          <w:ilvl w:val="0"/>
          <w:numId w:val="1"/>
        </w:numPr>
        <w:jc w:val="center"/>
        <w:rPr>
          <w:rFonts w:ascii="Times New Roman" w:hAnsi="Times New Roman"/>
          <w:b/>
          <w:sz w:val="26"/>
          <w:szCs w:val="26"/>
        </w:rPr>
      </w:pPr>
      <w:r w:rsidRPr="00343EF6">
        <w:rPr>
          <w:rFonts w:ascii="Times New Roman" w:hAnsi="Times New Roman"/>
          <w:b/>
          <w:sz w:val="26"/>
          <w:szCs w:val="26"/>
        </w:rPr>
        <w:t>Перечень материально-технического обеспечения для выполнения олимпиадных заданий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Для проведения письменного тура муниципального этапа олимпиады по основам безопасности жизнедеятельности требуются специально подготовленные аудитории для рассадки участников.</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Участники должны сидеть по одному за столом/партой и находиться на расстоянии 1,5 метров друг от друга.</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каждой аудитории должны быть запасные ручки, запасные комплекты заданий, листы ответов и бумага для черновиков.</w:t>
      </w:r>
    </w:p>
    <w:p w:rsidR="001F2EA8" w:rsidRPr="00343EF6" w:rsidRDefault="001F2EA8" w:rsidP="001F2EA8">
      <w:pPr>
        <w:pStyle w:val="a5"/>
        <w:ind w:left="360"/>
        <w:rPr>
          <w:rFonts w:ascii="Times New Roman" w:hAnsi="Times New Roman"/>
          <w:b/>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t>Порядок разбора олимпиадных заданий и показа работ</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Оповещение участников о порядке и формате разбора заданий обеспечивает Оргкомитет.</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В ходе разбора заданий анализируются типичные ошибки, допущенные участниками олимпиады.</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Порядок, сроки и формат проведения показа работ устанавливаются организатором.</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1F2EA8" w:rsidRPr="00343EF6" w:rsidRDefault="001F2EA8" w:rsidP="001F2EA8">
      <w:pPr>
        <w:pStyle w:val="a5"/>
        <w:ind w:left="792"/>
        <w:rPr>
          <w:rFonts w:ascii="Times New Roman" w:hAnsi="Times New Roman"/>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t>Порядок рассмотрения апелляций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Апелляция проводится в случаях несогласия участника олимпиады с результатами оценивания его олимпиадной работы.</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Порядок, сроки и формат проведения апелляции устанавливаются организатором муниципального этапа олимпиады по основам безопасности жизнедеятельности.</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Апелляции участников олимпиады рассматриваются членами Жюри (апелляционной комиссией).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При рассмотрении апелляции присутствует участник олимпиады, подавший заявление.</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По результатам рассмотрения апелляции выносится одно из следующих решений:</w:t>
      </w:r>
    </w:p>
    <w:p w:rsidR="001F2EA8" w:rsidRPr="00343EF6" w:rsidRDefault="001F2EA8" w:rsidP="001F2EA8">
      <w:pPr>
        <w:pStyle w:val="a5"/>
        <w:numPr>
          <w:ilvl w:val="0"/>
          <w:numId w:val="6"/>
        </w:numPr>
        <w:ind w:left="993" w:hanging="284"/>
        <w:rPr>
          <w:rFonts w:ascii="Times New Roman" w:hAnsi="Times New Roman"/>
          <w:sz w:val="26"/>
          <w:szCs w:val="26"/>
        </w:rPr>
      </w:pPr>
      <w:r w:rsidRPr="00343EF6">
        <w:rPr>
          <w:rFonts w:ascii="Times New Roman" w:hAnsi="Times New Roman"/>
          <w:sz w:val="26"/>
          <w:szCs w:val="26"/>
        </w:rPr>
        <w:lastRenderedPageBreak/>
        <w:t>об отклонении апелляции и сохранении выставленных баллов;</w:t>
      </w:r>
    </w:p>
    <w:p w:rsidR="001F2EA8" w:rsidRPr="00343EF6" w:rsidRDefault="001F2EA8" w:rsidP="001F2EA8">
      <w:pPr>
        <w:pStyle w:val="a5"/>
        <w:numPr>
          <w:ilvl w:val="0"/>
          <w:numId w:val="6"/>
        </w:numPr>
        <w:ind w:left="993" w:hanging="284"/>
        <w:rPr>
          <w:rFonts w:ascii="Times New Roman" w:hAnsi="Times New Roman"/>
          <w:sz w:val="26"/>
          <w:szCs w:val="26"/>
        </w:rPr>
      </w:pPr>
      <w:r w:rsidRPr="00343EF6">
        <w:rPr>
          <w:rFonts w:ascii="Times New Roman" w:hAnsi="Times New Roman"/>
          <w:sz w:val="26"/>
          <w:szCs w:val="26"/>
        </w:rPr>
        <w:t>об удовлетворении апелляции и корректировке баллов.</w:t>
      </w:r>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proofErr w:type="gramStart"/>
      <w:r w:rsidRPr="00343EF6">
        <w:rPr>
          <w:rFonts w:ascii="Times New Roman" w:hAnsi="Times New Roman"/>
          <w:sz w:val="26"/>
          <w:szCs w:val="26"/>
        </w:rPr>
        <w:t>Изменение баллов должно происходить только во время апелляции, в том числе и по техническим ошибкам («Методические рекомендации по проведению школьного и муниципального этапов всероссийской олимпиады школьников по основам безопасности жизнедеятельности в 2020/21 учебном году», стр. 24).</w:t>
      </w:r>
      <w:proofErr w:type="gramEnd"/>
    </w:p>
    <w:p w:rsidR="001F2EA8" w:rsidRPr="00343EF6" w:rsidRDefault="001F2EA8" w:rsidP="001F2EA8">
      <w:pPr>
        <w:pStyle w:val="a5"/>
        <w:numPr>
          <w:ilvl w:val="1"/>
          <w:numId w:val="1"/>
        </w:numPr>
        <w:tabs>
          <w:tab w:val="left" w:pos="993"/>
          <w:tab w:val="left" w:pos="1276"/>
        </w:tabs>
        <w:ind w:left="0" w:firstLine="561"/>
        <w:jc w:val="both"/>
        <w:rPr>
          <w:rFonts w:ascii="Times New Roman" w:hAnsi="Times New Roman"/>
          <w:sz w:val="26"/>
          <w:szCs w:val="26"/>
        </w:rPr>
      </w:pPr>
      <w:r w:rsidRPr="00343EF6">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Решения по апелляции являются окончательными и пересмотру не подлежат.</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Процедура апелляции проводится с использованием видеофиксации.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Документами по проведению апелляции являются:</w:t>
      </w:r>
    </w:p>
    <w:p w:rsidR="001F2EA8" w:rsidRPr="00343EF6" w:rsidRDefault="001F2EA8" w:rsidP="001F2EA8">
      <w:pPr>
        <w:pStyle w:val="a5"/>
        <w:numPr>
          <w:ilvl w:val="0"/>
          <w:numId w:val="5"/>
        </w:numPr>
        <w:ind w:left="993" w:hanging="284"/>
        <w:rPr>
          <w:rFonts w:ascii="Times New Roman" w:hAnsi="Times New Roman"/>
          <w:sz w:val="26"/>
          <w:szCs w:val="26"/>
        </w:rPr>
      </w:pPr>
      <w:r w:rsidRPr="00343EF6">
        <w:rPr>
          <w:rFonts w:ascii="Times New Roman" w:hAnsi="Times New Roman"/>
          <w:sz w:val="26"/>
          <w:szCs w:val="26"/>
        </w:rPr>
        <w:t>письменные заявления об апелляциях участников олимпиады;</w:t>
      </w:r>
    </w:p>
    <w:p w:rsidR="001F2EA8" w:rsidRPr="00343EF6" w:rsidRDefault="001F2EA8" w:rsidP="001F2EA8">
      <w:pPr>
        <w:pStyle w:val="a5"/>
        <w:numPr>
          <w:ilvl w:val="0"/>
          <w:numId w:val="5"/>
        </w:numPr>
        <w:ind w:left="993" w:hanging="284"/>
        <w:rPr>
          <w:rFonts w:ascii="Times New Roman" w:hAnsi="Times New Roman"/>
          <w:sz w:val="26"/>
          <w:szCs w:val="26"/>
        </w:rPr>
      </w:pPr>
      <w:r w:rsidRPr="00343EF6">
        <w:rPr>
          <w:rFonts w:ascii="Times New Roman" w:hAnsi="Times New Roman"/>
          <w:sz w:val="26"/>
          <w:szCs w:val="26"/>
        </w:rPr>
        <w:t>журнал (листы) регистрации апелляций;</w:t>
      </w:r>
    </w:p>
    <w:p w:rsidR="001F2EA8" w:rsidRPr="00343EF6" w:rsidRDefault="001F2EA8" w:rsidP="001F2EA8">
      <w:pPr>
        <w:pStyle w:val="a5"/>
        <w:numPr>
          <w:ilvl w:val="0"/>
          <w:numId w:val="5"/>
        </w:numPr>
        <w:ind w:left="993" w:hanging="284"/>
        <w:rPr>
          <w:rFonts w:ascii="Times New Roman" w:hAnsi="Times New Roman"/>
          <w:sz w:val="26"/>
          <w:szCs w:val="26"/>
        </w:rPr>
      </w:pPr>
      <w:r w:rsidRPr="00343EF6">
        <w:rPr>
          <w:rFonts w:ascii="Times New Roman" w:hAnsi="Times New Roman"/>
          <w:sz w:val="26"/>
          <w:szCs w:val="26"/>
        </w:rPr>
        <w:t>протоколы проведения апелляции.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Окончательные итоги олимпиады утверждаются Жюри с учетом проведения апелляции.</w:t>
      </w:r>
    </w:p>
    <w:p w:rsidR="001F2EA8" w:rsidRPr="00343EF6" w:rsidRDefault="001F2EA8" w:rsidP="001F2EA8">
      <w:pPr>
        <w:pStyle w:val="a5"/>
        <w:ind w:left="360"/>
        <w:rPr>
          <w:rFonts w:ascii="Times New Roman" w:hAnsi="Times New Roman"/>
          <w:b/>
          <w:sz w:val="26"/>
          <w:szCs w:val="26"/>
        </w:rPr>
      </w:pPr>
    </w:p>
    <w:p w:rsidR="001F2EA8" w:rsidRPr="00343EF6" w:rsidRDefault="001F2EA8" w:rsidP="001F2EA8">
      <w:pPr>
        <w:pStyle w:val="a5"/>
        <w:numPr>
          <w:ilvl w:val="0"/>
          <w:numId w:val="1"/>
        </w:numPr>
        <w:ind w:left="426" w:hanging="426"/>
        <w:jc w:val="center"/>
        <w:rPr>
          <w:rFonts w:ascii="Times New Roman" w:hAnsi="Times New Roman"/>
          <w:b/>
          <w:sz w:val="26"/>
          <w:szCs w:val="26"/>
        </w:rPr>
      </w:pPr>
      <w:r w:rsidRPr="00343EF6">
        <w:rPr>
          <w:rFonts w:ascii="Times New Roman" w:hAnsi="Times New Roman"/>
          <w:b/>
          <w:sz w:val="26"/>
          <w:szCs w:val="26"/>
        </w:rPr>
        <w:t>Порядок подведения итогов олимпиады</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Победители и призеры муниципального этапа олимпиады по основам безопасности жизнедеятельности определяются отдельно по каждой параллели: 7-8, 9 и 10-11 классы.</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по основам безопасности жизнедеятельности.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основам безопасности жизнедеятельности, является протокол Жюри муниципального этапа, подписанный председателем Жюри, а также всеми членами Жюри.</w:t>
      </w:r>
    </w:p>
    <w:p w:rsidR="001F2EA8" w:rsidRPr="00343EF6" w:rsidRDefault="001F2EA8" w:rsidP="001F2EA8">
      <w:pPr>
        <w:pStyle w:val="a5"/>
        <w:numPr>
          <w:ilvl w:val="1"/>
          <w:numId w:val="1"/>
        </w:numPr>
        <w:tabs>
          <w:tab w:val="left" w:pos="993"/>
          <w:tab w:val="left" w:pos="1134"/>
        </w:tabs>
        <w:ind w:left="0" w:firstLine="561"/>
        <w:jc w:val="both"/>
        <w:rPr>
          <w:rFonts w:ascii="Times New Roman" w:hAnsi="Times New Roman"/>
          <w:sz w:val="26"/>
          <w:szCs w:val="26"/>
        </w:rPr>
      </w:pPr>
      <w:r w:rsidRPr="00343EF6">
        <w:rPr>
          <w:rFonts w:ascii="Times New Roman" w:hAnsi="Times New Roman"/>
          <w:sz w:val="26"/>
          <w:szCs w:val="26"/>
        </w:rPr>
        <w:t>Порядок, сроки и формат ознакомления участников олимпиады с результатами устанавливается организатором муниципального этапа олимпиады по основам безопасности жизнедеятельности.</w:t>
      </w:r>
    </w:p>
    <w:p w:rsidR="001F2EA8" w:rsidRPr="00343EF6" w:rsidRDefault="001F2EA8" w:rsidP="001F2EA8">
      <w:pPr>
        <w:pStyle w:val="a5"/>
        <w:ind w:left="792"/>
        <w:rPr>
          <w:rFonts w:ascii="Times New Roman" w:hAnsi="Times New Roman"/>
          <w:sz w:val="26"/>
          <w:szCs w:val="26"/>
        </w:rPr>
      </w:pPr>
    </w:p>
    <w:p w:rsidR="006F6C85" w:rsidRDefault="006F6C85"/>
    <w:sectPr w:rsidR="006F6C85" w:rsidSect="001F2E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636"/>
    <w:multiLevelType w:val="hybridMultilevel"/>
    <w:tmpl w:val="355A4478"/>
    <w:lvl w:ilvl="0" w:tplc="7E24AB1C">
      <w:start w:val="1"/>
      <w:numFmt w:val="bullet"/>
      <w:lvlText w:val="−"/>
      <w:lvlJc w:val="left"/>
      <w:pPr>
        <w:ind w:left="1713" w:hanging="360"/>
      </w:pPr>
      <w:rPr>
        <w:rFonts w:ascii="Viner Hand ITC" w:hAnsi="Viner Hand IT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44B56E6"/>
    <w:multiLevelType w:val="multilevel"/>
    <w:tmpl w:val="CB46C04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84308C"/>
    <w:multiLevelType w:val="hybridMultilevel"/>
    <w:tmpl w:val="2ECA7A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3D2E76"/>
    <w:multiLevelType w:val="multilevel"/>
    <w:tmpl w:val="A96E721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5630B7"/>
    <w:multiLevelType w:val="hybridMultilevel"/>
    <w:tmpl w:val="2E6C30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F2EA8"/>
    <w:rsid w:val="001F2EA8"/>
    <w:rsid w:val="005851D8"/>
    <w:rsid w:val="006F6C85"/>
    <w:rsid w:val="008E73B0"/>
    <w:rsid w:val="00D31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EA8"/>
    <w:pPr>
      <w:tabs>
        <w:tab w:val="left" w:pos="7371"/>
      </w:tabs>
      <w:spacing w:after="1080"/>
      <w:ind w:left="4536"/>
    </w:pPr>
    <w:rPr>
      <w:sz w:val="26"/>
    </w:rPr>
  </w:style>
  <w:style w:type="character" w:customStyle="1" w:styleId="a4">
    <w:name w:val="Основной текст с отступом Знак"/>
    <w:basedOn w:val="a0"/>
    <w:link w:val="a3"/>
    <w:rsid w:val="001F2EA8"/>
    <w:rPr>
      <w:rFonts w:ascii="Times New Roman" w:eastAsia="Times New Roman" w:hAnsi="Times New Roman" w:cs="Times New Roman"/>
      <w:sz w:val="26"/>
      <w:szCs w:val="20"/>
      <w:lang w:eastAsia="ru-RU"/>
    </w:rPr>
  </w:style>
  <w:style w:type="paragraph" w:styleId="a5">
    <w:name w:val="List Paragraph"/>
    <w:basedOn w:val="a"/>
    <w:uiPriority w:val="34"/>
    <w:qFormat/>
    <w:rsid w:val="001F2EA8"/>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2579</Words>
  <Characters>14705</Characters>
  <Application>Microsoft Office Word</Application>
  <DocSecurity>0</DocSecurity>
  <Lines>122</Lines>
  <Paragraphs>34</Paragraphs>
  <ScaleCrop>false</ScaleCrop>
  <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2020-11-26T13:06:00Z</dcterms:created>
  <dcterms:modified xsi:type="dcterms:W3CDTF">2020-11-26T13:08:00Z</dcterms:modified>
</cp:coreProperties>
</file>